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C28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附件7</w:t>
      </w:r>
    </w:p>
    <w:p w14:paraId="4C2398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jc w:val="center"/>
        <w:textAlignment w:val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年湖南省心理咨询技能大赛</w:t>
      </w:r>
      <w:r>
        <w:rPr>
          <w:rFonts w:ascii="宋体" w:hAnsi="宋体" w:eastAsia="宋体" w:cs="宋体"/>
          <w:b/>
          <w:bCs/>
          <w:sz w:val="28"/>
          <w:szCs w:val="28"/>
        </w:rPr>
        <w:t>心理咨询案例文本评分标准</w:t>
      </w:r>
    </w:p>
    <w:p w14:paraId="7CD0B3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textAlignment w:val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 w14:paraId="7B16E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本评分标准适用于本次心理咨询技能竞赛的案例报告评审，满分100分，评审维度涵盖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ascii="宋体" w:hAnsi="宋体" w:eastAsia="宋体" w:cs="宋体"/>
          <w:sz w:val="24"/>
          <w:szCs w:val="24"/>
        </w:rPr>
        <w:t>伦理合规性、专业完整性、技术适配性、反思深度、格式规范性、内容创新性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ascii="宋体" w:hAnsi="宋体" w:eastAsia="宋体" w:cs="宋体"/>
          <w:sz w:val="24"/>
          <w:szCs w:val="24"/>
        </w:rPr>
        <w:t>六大方面，旨在筛选出专业、规范、优质的案例报告，评分结果作为竞赛评奖和出版遴选的核心依据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为案例教学提供素材，为案例实践提供引导。</w:t>
      </w:r>
      <w:r>
        <w:rPr>
          <w:rFonts w:ascii="宋体" w:hAnsi="宋体" w:eastAsia="宋体" w:cs="宋体"/>
          <w:sz w:val="24"/>
          <w:szCs w:val="24"/>
        </w:rPr>
        <w:t>评审专家需遵循客观、公正、专业原则，结合案例实际情况逐项打分，对扣分项需注明具体原因。</w:t>
      </w:r>
    </w:p>
    <w:p w14:paraId="036F7A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tbl>
      <w:tblPr>
        <w:tblStyle w:val="4"/>
        <w:tblW w:w="88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6"/>
        <w:gridCol w:w="3788"/>
        <w:gridCol w:w="3750"/>
      </w:tblGrid>
      <w:tr w14:paraId="36ED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</w:tcPr>
          <w:p w14:paraId="3D5C7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评分维度</w:t>
            </w:r>
          </w:p>
        </w:tc>
        <w:tc>
          <w:tcPr>
            <w:tcW w:w="576" w:type="dxa"/>
          </w:tcPr>
          <w:p w14:paraId="04D12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分值</w:t>
            </w:r>
          </w:p>
        </w:tc>
        <w:tc>
          <w:tcPr>
            <w:tcW w:w="3788" w:type="dxa"/>
          </w:tcPr>
          <w:p w14:paraId="7A345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评分要点</w:t>
            </w:r>
          </w:p>
        </w:tc>
        <w:tc>
          <w:tcPr>
            <w:tcW w:w="3750" w:type="dxa"/>
          </w:tcPr>
          <w:p w14:paraId="3E5FB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打分细则</w:t>
            </w:r>
          </w:p>
        </w:tc>
      </w:tr>
      <w:tr w14:paraId="0920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9" w:hRule="atLeast"/>
        </w:trPr>
        <w:tc>
          <w:tcPr>
            <w:tcW w:w="717" w:type="dxa"/>
            <w:vAlign w:val="center"/>
          </w:tcPr>
          <w:p w14:paraId="5E8F8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伦理合规性</w:t>
            </w:r>
          </w:p>
        </w:tc>
        <w:tc>
          <w:tcPr>
            <w:tcW w:w="576" w:type="dxa"/>
            <w:vAlign w:val="center"/>
          </w:tcPr>
          <w:p w14:paraId="48A25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3788" w:type="dxa"/>
          </w:tcPr>
          <w:p w14:paraId="01BC7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1.严格做好来访者信息匿名化处理，无任何可识别信息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34F82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2.遵循知情同意、保密、无伤害等伦理原则，体现伦理考量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54ED9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3.无专业边界突破行为（如双重关系、情感卷入等）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8FC3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4.量表使用、督导、他人反馈等均获来访者知情同意。</w:t>
            </w:r>
          </w:p>
          <w:p w14:paraId="31C0B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50" w:type="dxa"/>
          </w:tcPr>
          <w:p w14:paraId="5B007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1.出现可识别信息，扣5分/处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C7E8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2.未体现知情同意/保密原则，扣10-15分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865F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3.存在边界突破等伦理问题，本项计0分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09AA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4.未获同意使用他人反馈/量表结果，扣5分。</w:t>
            </w:r>
          </w:p>
        </w:tc>
      </w:tr>
      <w:tr w14:paraId="3223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Align w:val="center"/>
          </w:tcPr>
          <w:p w14:paraId="340B0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专业完整性</w:t>
            </w:r>
          </w:p>
        </w:tc>
        <w:tc>
          <w:tcPr>
            <w:tcW w:w="576" w:type="dxa"/>
            <w:vAlign w:val="center"/>
          </w:tcPr>
          <w:p w14:paraId="5419A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788" w:type="dxa"/>
          </w:tcPr>
          <w:p w14:paraId="1BC5B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1.案例基本信息完整，关键要素无缺失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FF86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2.评估与诊断多维度、完整，鉴别诊断依据充分，诊断结果明确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3FAF2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3.个案概念化逻辑连贯，表层与深层问题分析到位，贴合案例实际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33A8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4.咨询目标与方案分层清晰，符合 SMART原则，与概念化一致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D3C9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5.咨询过程分阶段详述，关键片段完整，体现咨询动态过程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5170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6.咨询效果评估量化+质性结合，全面客观，贴合咨询目标。</w:t>
            </w:r>
          </w:p>
          <w:p w14:paraId="1794C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50" w:type="dxa"/>
          </w:tcPr>
          <w:p w14:paraId="1317DD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1.核心信息缺失，扣2-3分/项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CE4E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2.评估维度单一/鉴别诊断依据不足，扣3-5分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FC02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3.概念化逻辑混乱/与案例不符，扣5-8分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8E61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4.咨询目标模糊/与方案脱节，扣 3-5分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E337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5.咨询过程流水账/关键片段缺失，扣5-8分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90C9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6.效果评估单一/夸大疗效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扣3-6分。</w:t>
            </w:r>
          </w:p>
        </w:tc>
      </w:tr>
      <w:tr w14:paraId="743C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Align w:val="center"/>
          </w:tcPr>
          <w:p w14:paraId="26830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技术适配性</w:t>
            </w:r>
          </w:p>
        </w:tc>
        <w:tc>
          <w:tcPr>
            <w:tcW w:w="576" w:type="dxa"/>
            <w:vAlign w:val="center"/>
          </w:tcPr>
          <w:p w14:paraId="7A0E3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788" w:type="dxa"/>
          </w:tcPr>
          <w:p w14:paraId="28204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59153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1.理论框架选择与案例适配，跨流派结合有依据，无生搬硬套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3EDA5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2.咨询技术选用贴合来访者核心问题，与理论框架一致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EDD9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3.技术应用具体、可操作，关键片段体现技术的实际运用过程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58BAC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4.咨询方案根据来访者情况动态调整，调整依据充分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EE38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5.督导建议有效融入咨询过程，技术应用效果显著。</w:t>
            </w:r>
          </w:p>
          <w:p w14:paraId="0A14E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50" w:type="dxa"/>
          </w:tcPr>
          <w:p w14:paraId="31437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44A8C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1.理论与案例不适配/跨流派结合无依据，扣5-8分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AEBE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2.技术选用与问题脱节，扣3-5分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EFB6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3.仅罗列技术名称，无具体操作过程，扣4-6分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4A9E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4.方案调整无依据/督导建议未落地，扣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2D17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 技术应用效果差，未缓解来访者症状，扣3-5分。</w:t>
            </w:r>
          </w:p>
        </w:tc>
      </w:tr>
      <w:tr w14:paraId="524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Align w:val="center"/>
          </w:tcPr>
          <w:p w14:paraId="44C96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反思深度</w:t>
            </w:r>
          </w:p>
        </w:tc>
        <w:tc>
          <w:tcPr>
            <w:tcW w:w="576" w:type="dxa"/>
            <w:vAlign w:val="center"/>
          </w:tcPr>
          <w:p w14:paraId="0993C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3788" w:type="dxa"/>
          </w:tcPr>
          <w:p w14:paraId="52116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28B6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1.客观评价咨询效果，如实说明目标完成情况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2086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2.成功经验总结贴合案例实际，具有专业性和借鉴性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4A94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3.坦诚分析咨询不足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FEA0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督导</w:t>
            </w:r>
            <w:r>
              <w:rPr>
                <w:rFonts w:ascii="宋体" w:hAnsi="宋体" w:eastAsia="宋体" w:cs="宋体"/>
                <w:sz w:val="24"/>
                <w:szCs w:val="24"/>
              </w:rPr>
              <w:t>改进方向具体、可操作，针对性强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D208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5.专业成长启示有深度，体现对理论、技术或本土化咨询的新认识。</w:t>
            </w:r>
          </w:p>
          <w:p w14:paraId="10044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50" w:type="dxa"/>
          </w:tcPr>
          <w:p w14:paraId="7E30F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760DD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1.效果评价不客观/夸大疗效，扣3-5分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3C6A7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2.成功经验泛泛而谈/无借鉴性，扣2-3分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24F7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3.未分析咨询不足/回避问题，扣4-6分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0E50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督导</w:t>
            </w:r>
            <w:r>
              <w:rPr>
                <w:rFonts w:ascii="宋体" w:hAnsi="宋体" w:eastAsia="宋体" w:cs="宋体"/>
                <w:sz w:val="24"/>
                <w:szCs w:val="24"/>
              </w:rPr>
              <w:t>改进方向空洞/无针对性，扣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A72F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5.专业成长启示浅薄，扣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分。</w:t>
            </w:r>
          </w:p>
        </w:tc>
      </w:tr>
      <w:tr w14:paraId="300B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Align w:val="center"/>
          </w:tcPr>
          <w:p w14:paraId="175BE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格式规范性</w:t>
            </w:r>
          </w:p>
        </w:tc>
        <w:tc>
          <w:tcPr>
            <w:tcW w:w="576" w:type="dxa"/>
            <w:vAlign w:val="center"/>
          </w:tcPr>
          <w:p w14:paraId="25262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3788" w:type="dxa"/>
          </w:tcPr>
          <w:p w14:paraId="71CA8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362EB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1.报告六大核心模块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完整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1D9D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2.排版规范，标题层级清晰，字体、行距符合要求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7CD5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3.字数在8000-12000字范围内，无过多冗余或信息不足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9066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4.无错别字、语病，表述专业、准确，无口语化表达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783F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5.量表、理论引用规范，注明编者。</w:t>
            </w:r>
          </w:p>
          <w:p w14:paraId="4E251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50" w:type="dxa"/>
          </w:tcPr>
          <w:p w14:paraId="09B81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6067D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1.核心模块缺失，扣3-5分/项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8D4F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2.排版混乱/标题层级不清晰，扣2-3分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6D2F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3.字数超出范围过多，扣1-2分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F02F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4.错别字/语病≥3处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扣1分/处，口语化表达严重，扣2-3分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2D57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5.引用不规范，扣1-2分/处。</w:t>
            </w:r>
          </w:p>
        </w:tc>
      </w:tr>
      <w:tr w14:paraId="4282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Align w:val="center"/>
          </w:tcPr>
          <w:p w14:paraId="0AFA4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内容创新性</w:t>
            </w:r>
          </w:p>
        </w:tc>
        <w:tc>
          <w:tcPr>
            <w:tcW w:w="576" w:type="dxa"/>
            <w:vAlign w:val="center"/>
          </w:tcPr>
          <w:p w14:paraId="454F2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加分项</w:t>
            </w:r>
          </w:p>
        </w:tc>
        <w:tc>
          <w:tcPr>
            <w:tcW w:w="3788" w:type="dxa"/>
          </w:tcPr>
          <w:p w14:paraId="067E0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1.跨流派理论/技术结合有新意，且应用效果良好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3BB26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2.针对本土化文化背景的咨询策略有创新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5CF2F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3.对特殊问题/群体的干预思路有突破，具有行业借鉴价值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39C4E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4.案例反思视角独特，为专业成长提供新思路。</w:t>
            </w:r>
          </w:p>
          <w:p w14:paraId="08C058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50" w:type="dxa"/>
          </w:tcPr>
          <w:p w14:paraId="112E4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1.跨流派结合有新意且效果好，加3-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1290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2.本土化咨询有创新，加2-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DB07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3.特殊问题/群体干预思路有突破，加3-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39C1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督导、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反思视角独特，加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6C37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5.无创新点，本项计0分，不扣分。</w:t>
            </w:r>
          </w:p>
        </w:tc>
      </w:tr>
      <w:tr w14:paraId="0EED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dxa"/>
            <w:vAlign w:val="center"/>
          </w:tcPr>
          <w:p w14:paraId="17323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总分</w:t>
            </w:r>
          </w:p>
        </w:tc>
        <w:tc>
          <w:tcPr>
            <w:tcW w:w="576" w:type="dxa"/>
            <w:vAlign w:val="center"/>
          </w:tcPr>
          <w:p w14:paraId="6AFDA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3788" w:type="dxa"/>
          </w:tcPr>
          <w:p w14:paraId="7E0CE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六大维度综合考量，结合案例整体质量打分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750" w:type="dxa"/>
          </w:tcPr>
          <w:p w14:paraId="386E7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2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各项得分相加，扣除扣分项，为最终得分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ascii="宋体" w:hAnsi="宋体" w:eastAsia="宋体" w:cs="宋体"/>
                <w:sz w:val="24"/>
                <w:szCs w:val="24"/>
              </w:rPr>
              <w:t>90分及以上为优秀，80-89分为良好，70-79分为合格，70分以下为不合格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</w:tbl>
    <w:p w14:paraId="2563CD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0" w:right="0"/>
        <w:jc w:val="left"/>
        <w:textAlignment w:val="auto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47CB97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0" w:right="0"/>
        <w:jc w:val="left"/>
        <w:textAlignment w:val="auto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补充说明</w:t>
      </w:r>
      <w:r>
        <w:rPr>
          <w:rFonts w:hint="eastAsia" w:cs="宋体"/>
          <w:b/>
          <w:bCs/>
          <w:kern w:val="2"/>
          <w:sz w:val="24"/>
          <w:szCs w:val="24"/>
          <w:lang w:val="en-US" w:eastAsia="zh-CN" w:bidi="ar-SA"/>
        </w:rPr>
        <w:t>：</w:t>
      </w:r>
    </w:p>
    <w:p w14:paraId="0B9E3A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-360" w:leftChars="0" w:right="0" w:rightChars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不合格案例（70分以下）直接淘汰，不参与竞赛评奖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144983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-360" w:leftChars="0" w:right="0" w:rightChars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2.拟选为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出版用案例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需达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90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分及以上，且无伦理问题、专业硬伤，内容有典型性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借鉴性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3BE763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-360" w:leftChars="0" w:right="0" w:rightChars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若案例存在虚构、拼接、改编等情况，直接判定为不合格，取消竞赛资格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。送审前，会务组会先进行查重、AI鉴别，并进行伦理公式。</w:t>
      </w:r>
    </w:p>
    <w:p w14:paraId="7B3CF05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-360" w:leftChars="0" w:right="0" w:rightChars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4.优先选择主要流派的案例。同时，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跨流派咨询案例的评审，重点关注理论与技术的融合性和应用效果，不片面强调流派的纯粹性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738478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-360" w:leftChars="0" w:right="0" w:rightChars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5.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本土化创新、特殊群体（如青少年、老年人、产后女性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、危机干预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等）案例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将予以优先考虑出版。</w:t>
      </w:r>
    </w:p>
    <w:p w14:paraId="52C511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66614"/>
    <w:rsid w:val="14D964F6"/>
    <w:rsid w:val="1CCE2DCF"/>
    <w:rsid w:val="23B24AE2"/>
    <w:rsid w:val="28FF26A7"/>
    <w:rsid w:val="41D1397F"/>
    <w:rsid w:val="4F883A6A"/>
    <w:rsid w:val="50DC2CA6"/>
    <w:rsid w:val="5B547C6B"/>
    <w:rsid w:val="5EEA4A8F"/>
    <w:rsid w:val="5F3B726A"/>
    <w:rsid w:val="64126578"/>
    <w:rsid w:val="6AEA1A38"/>
    <w:rsid w:val="6F866614"/>
    <w:rsid w:val="7D5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1781</Words>
  <Characters>1937</Characters>
  <Lines>0</Lines>
  <Paragraphs>0</Paragraphs>
  <TotalTime>1</TotalTime>
  <ScaleCrop>false</ScaleCrop>
  <LinksUpToDate>false</LinksUpToDate>
  <CharactersWithSpaces>1940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2026-03-30T23:18:00Z</dcterms:created>
  <dc:creator>肖长根</dc:creator>
  <cp:lastModifiedBy>肖长根</cp:lastModifiedBy>
  <dcterms:modified xsi:type="dcterms:W3CDTF">2026-04-27T12:30:39Z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3B70C1C4BE2645C8870F49AD2ED7C112_11</vt:lpwstr>
  </property>
  <property fmtid="{D5CDD505-2E9C-101B-9397-08002B2CF9AE}" pid="4" name="KSOTemplateDocerSaveRecord">
    <vt:lpwstr>eyJoZGlkIjoiYjc0ZWQ1MTU0ZjliNWUxZDZkZTg5ODIwY2U1Mzk2YmMiLCJ1c2VySWQiOiI1NzYxNzg3OTUifQ==</vt:lpwstr>
  </property>
</Properties>
</file>